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DE10F" w14:textId="39664A2E" w:rsidR="00B765AD" w:rsidRPr="00AA5CD4" w:rsidRDefault="00AA5CD4" w:rsidP="00012018">
      <w:pPr>
        <w:jc w:val="center"/>
        <w:rPr>
          <w:rFonts w:ascii="Arial" w:hAnsi="Arial" w:cs="Arial"/>
          <w:b/>
          <w:bCs/>
          <w:sz w:val="24"/>
          <w:szCs w:val="24"/>
        </w:rPr>
      </w:pPr>
      <w:r w:rsidRPr="00AA5CD4">
        <w:rPr>
          <w:rFonts w:ascii="Arial" w:hAnsi="Arial" w:cs="Arial"/>
          <w:b/>
          <w:bCs/>
          <w:sz w:val="24"/>
          <w:szCs w:val="24"/>
        </w:rPr>
        <w:t xml:space="preserve">Lot 1 - </w:t>
      </w:r>
      <w:r w:rsidR="00B765AD" w:rsidRPr="00AA5CD4">
        <w:rPr>
          <w:rFonts w:ascii="Arial" w:hAnsi="Arial" w:cs="Arial"/>
          <w:b/>
          <w:bCs/>
          <w:sz w:val="24"/>
          <w:szCs w:val="24"/>
        </w:rPr>
        <w:t>Meadows Family Hub</w:t>
      </w:r>
      <w:r w:rsidR="00012018" w:rsidRPr="00AA5CD4">
        <w:rPr>
          <w:rFonts w:ascii="Arial" w:hAnsi="Arial" w:cs="Arial"/>
          <w:b/>
          <w:bCs/>
          <w:sz w:val="24"/>
          <w:szCs w:val="24"/>
        </w:rPr>
        <w:t xml:space="preserve"> Indication of</w:t>
      </w:r>
      <w:r w:rsidRPr="00AA5CD4">
        <w:rPr>
          <w:rFonts w:ascii="Arial" w:hAnsi="Arial" w:cs="Arial"/>
          <w:b/>
          <w:bCs/>
          <w:sz w:val="24"/>
          <w:szCs w:val="24"/>
        </w:rPr>
        <w:t xml:space="preserve"> Concession Fees payable to the Authority</w:t>
      </w:r>
      <w:r w:rsidR="00012018" w:rsidRPr="00AA5CD4">
        <w:rPr>
          <w:rFonts w:ascii="Arial" w:hAnsi="Arial" w:cs="Arial"/>
          <w:b/>
          <w:bCs/>
          <w:sz w:val="24"/>
          <w:szCs w:val="24"/>
        </w:rPr>
        <w:t>.</w:t>
      </w:r>
    </w:p>
    <w:p w14:paraId="5DEEC6A1" w14:textId="02F1D41E" w:rsidR="00B765AD" w:rsidRPr="00AA5CD4" w:rsidRDefault="00B765AD" w:rsidP="00AA5CD4">
      <w:pPr>
        <w:jc w:val="both"/>
        <w:rPr>
          <w:rFonts w:ascii="Arial" w:hAnsi="Arial" w:cs="Arial"/>
          <w:sz w:val="24"/>
          <w:szCs w:val="24"/>
        </w:rPr>
      </w:pPr>
      <w:r w:rsidRPr="00AA5CD4">
        <w:rPr>
          <w:rFonts w:ascii="Arial" w:hAnsi="Arial" w:cs="Arial"/>
          <w:sz w:val="24"/>
          <w:szCs w:val="24"/>
        </w:rPr>
        <w:t xml:space="preserve">The </w:t>
      </w:r>
      <w:r w:rsidR="00AA5CD4">
        <w:rPr>
          <w:rFonts w:ascii="Arial" w:hAnsi="Arial" w:cs="Arial"/>
          <w:sz w:val="24"/>
          <w:szCs w:val="24"/>
        </w:rPr>
        <w:t>Concessionaire</w:t>
      </w:r>
      <w:r w:rsidRPr="00AA5CD4">
        <w:rPr>
          <w:rFonts w:ascii="Arial" w:hAnsi="Arial" w:cs="Arial"/>
          <w:sz w:val="24"/>
          <w:szCs w:val="24"/>
        </w:rPr>
        <w:t xml:space="preserve"> will be expected to contribute 25% of all Family </w:t>
      </w:r>
      <w:r w:rsidR="00AA5CD4">
        <w:rPr>
          <w:rFonts w:ascii="Arial" w:hAnsi="Arial" w:cs="Arial"/>
          <w:sz w:val="24"/>
          <w:szCs w:val="24"/>
        </w:rPr>
        <w:t>Hub</w:t>
      </w:r>
      <w:r w:rsidRPr="00AA5CD4">
        <w:rPr>
          <w:rFonts w:ascii="Arial" w:hAnsi="Arial" w:cs="Arial"/>
          <w:sz w:val="24"/>
          <w:szCs w:val="24"/>
        </w:rPr>
        <w:t xml:space="preserve"> costs for gas, electric, water, business rates and waste disposal.</w:t>
      </w:r>
    </w:p>
    <w:p w14:paraId="5A39F672" w14:textId="374398DE" w:rsidR="00B765AD" w:rsidRPr="00AA5CD4" w:rsidRDefault="00B765AD" w:rsidP="00AA5CD4">
      <w:pPr>
        <w:jc w:val="both"/>
        <w:rPr>
          <w:rFonts w:ascii="Arial" w:hAnsi="Arial" w:cs="Arial"/>
          <w:sz w:val="24"/>
          <w:szCs w:val="24"/>
        </w:rPr>
      </w:pPr>
      <w:r w:rsidRPr="00AA5CD4">
        <w:rPr>
          <w:rFonts w:ascii="Arial" w:hAnsi="Arial" w:cs="Arial"/>
          <w:sz w:val="24"/>
          <w:szCs w:val="24"/>
        </w:rPr>
        <w:t xml:space="preserve">The </w:t>
      </w:r>
      <w:r w:rsidR="00AA5CD4">
        <w:rPr>
          <w:rFonts w:ascii="Arial" w:hAnsi="Arial" w:cs="Arial"/>
          <w:sz w:val="24"/>
          <w:szCs w:val="24"/>
        </w:rPr>
        <w:t>Concessionaire</w:t>
      </w:r>
      <w:r w:rsidRPr="00AA5CD4">
        <w:rPr>
          <w:rFonts w:ascii="Arial" w:hAnsi="Arial" w:cs="Arial"/>
          <w:sz w:val="24"/>
          <w:szCs w:val="24"/>
        </w:rPr>
        <w:t xml:space="preserve"> will also contribute to 25% or up to £5,000 in any one year, whichever is the greater, of any centre repair bills. </w:t>
      </w:r>
    </w:p>
    <w:p w14:paraId="20270CF7" w14:textId="30C16C2E" w:rsidR="00B765AD" w:rsidRPr="00AA5CD4" w:rsidRDefault="00B765AD" w:rsidP="00AA5CD4">
      <w:pPr>
        <w:jc w:val="both"/>
        <w:rPr>
          <w:rFonts w:ascii="Arial" w:hAnsi="Arial" w:cs="Arial"/>
          <w:sz w:val="24"/>
          <w:szCs w:val="24"/>
        </w:rPr>
      </w:pPr>
      <w:r w:rsidRPr="00AA5CD4">
        <w:rPr>
          <w:rFonts w:ascii="Arial" w:hAnsi="Arial" w:cs="Arial"/>
          <w:sz w:val="24"/>
          <w:szCs w:val="24"/>
        </w:rPr>
        <w:t xml:space="preserve">The Concessionaire will also contribute to </w:t>
      </w:r>
      <w:r w:rsidR="00012018" w:rsidRPr="00AA5CD4">
        <w:rPr>
          <w:rFonts w:ascii="Arial" w:hAnsi="Arial" w:cs="Arial"/>
          <w:sz w:val="24"/>
          <w:szCs w:val="24"/>
        </w:rPr>
        <w:t>20</w:t>
      </w:r>
      <w:r w:rsidRPr="00AA5CD4">
        <w:rPr>
          <w:rFonts w:ascii="Arial" w:hAnsi="Arial" w:cs="Arial"/>
          <w:sz w:val="24"/>
          <w:szCs w:val="24"/>
        </w:rPr>
        <w:t xml:space="preserve">% of the caretaker fees who will assist with maintenance and building access but will not undertake the general cleaning or decoration of the areas solely used by the concessionaire (which will be the responsibility of the Concessionaire). </w:t>
      </w:r>
    </w:p>
    <w:p w14:paraId="36B98E6B" w14:textId="3617E1D4" w:rsidR="00B765AD" w:rsidRPr="00AA5CD4" w:rsidRDefault="00B765AD" w:rsidP="00AA5CD4">
      <w:pPr>
        <w:jc w:val="both"/>
        <w:rPr>
          <w:rFonts w:ascii="Arial" w:hAnsi="Arial" w:cs="Arial"/>
          <w:sz w:val="24"/>
          <w:szCs w:val="24"/>
        </w:rPr>
      </w:pPr>
      <w:r w:rsidRPr="00AA5CD4">
        <w:rPr>
          <w:rFonts w:ascii="Arial" w:hAnsi="Arial" w:cs="Arial"/>
          <w:sz w:val="24"/>
          <w:szCs w:val="24"/>
        </w:rPr>
        <w:t xml:space="preserve">Fees payable by the Concessionaire will be calculated using the previous </w:t>
      </w:r>
      <w:r w:rsidR="00AA5CD4">
        <w:rPr>
          <w:rFonts w:ascii="Arial" w:hAnsi="Arial" w:cs="Arial"/>
          <w:sz w:val="24"/>
          <w:szCs w:val="24"/>
        </w:rPr>
        <w:t>c</w:t>
      </w:r>
      <w:r w:rsidRPr="00AA5CD4">
        <w:rPr>
          <w:rFonts w:ascii="Arial" w:hAnsi="Arial" w:cs="Arial"/>
          <w:sz w:val="24"/>
          <w:szCs w:val="24"/>
        </w:rPr>
        <w:t xml:space="preserve">alendar year April – March and charged in three equal instalments from September. </w:t>
      </w:r>
      <w:r w:rsidR="00AA5CD4">
        <w:rPr>
          <w:rFonts w:ascii="Arial" w:hAnsi="Arial" w:cs="Arial"/>
          <w:sz w:val="24"/>
          <w:szCs w:val="24"/>
        </w:rPr>
        <w:t>F</w:t>
      </w:r>
      <w:r w:rsidRPr="00AA5CD4">
        <w:rPr>
          <w:rFonts w:ascii="Arial" w:hAnsi="Arial" w:cs="Arial"/>
          <w:sz w:val="24"/>
          <w:szCs w:val="24"/>
        </w:rPr>
        <w:t xml:space="preserve">ees from September 2025-August 2026 will be calculated from actual costs April 2024-March 2025. </w:t>
      </w:r>
    </w:p>
    <w:p w14:paraId="05E4A9B6" w14:textId="0CC12D17" w:rsidR="004C1FB8" w:rsidRPr="00AA5CD4" w:rsidRDefault="004C1FB8">
      <w:pPr>
        <w:rPr>
          <w:rFonts w:ascii="Arial" w:hAnsi="Arial" w:cs="Arial"/>
          <w:b/>
          <w:bCs/>
          <w:sz w:val="24"/>
          <w:szCs w:val="24"/>
        </w:rPr>
      </w:pPr>
      <w:r w:rsidRPr="00AA5CD4">
        <w:rPr>
          <w:rFonts w:ascii="Arial" w:hAnsi="Arial" w:cs="Arial"/>
          <w:b/>
          <w:bCs/>
          <w:sz w:val="24"/>
          <w:szCs w:val="24"/>
        </w:rPr>
        <w:t xml:space="preserve">Example based on 2023/24 </w:t>
      </w:r>
      <w:r w:rsidR="00012018" w:rsidRPr="00AA5CD4">
        <w:rPr>
          <w:rFonts w:ascii="Arial" w:hAnsi="Arial" w:cs="Arial"/>
          <w:b/>
          <w:bCs/>
          <w:sz w:val="24"/>
          <w:szCs w:val="24"/>
        </w:rPr>
        <w:t xml:space="preserve">actual </w:t>
      </w:r>
      <w:r w:rsidRPr="00AA5CD4">
        <w:rPr>
          <w:rFonts w:ascii="Arial" w:hAnsi="Arial" w:cs="Arial"/>
          <w:b/>
          <w:bCs/>
          <w:sz w:val="24"/>
          <w:szCs w:val="24"/>
        </w:rPr>
        <w:t>costs</w:t>
      </w:r>
    </w:p>
    <w:tbl>
      <w:tblPr>
        <w:tblW w:w="0" w:type="auto"/>
        <w:tblLayout w:type="fixed"/>
        <w:tblLook w:val="06A0" w:firstRow="1" w:lastRow="0" w:firstColumn="1" w:lastColumn="0" w:noHBand="1" w:noVBand="1"/>
      </w:tblPr>
      <w:tblGrid>
        <w:gridCol w:w="1234"/>
        <w:gridCol w:w="1640"/>
        <w:gridCol w:w="1703"/>
        <w:gridCol w:w="1123"/>
        <w:gridCol w:w="1560"/>
      </w:tblGrid>
      <w:tr w:rsidR="00BB5EFF" w14:paraId="75FB3F5E" w14:textId="77777777" w:rsidTr="00D92E4C">
        <w:trPr>
          <w:trHeight w:val="1755"/>
        </w:trPr>
        <w:tc>
          <w:tcPr>
            <w:tcW w:w="1234" w:type="dxa"/>
            <w:tcBorders>
              <w:top w:val="single" w:sz="8" w:space="0" w:color="auto"/>
              <w:left w:val="single" w:sz="8" w:space="0" w:color="auto"/>
              <w:bottom w:val="single" w:sz="4" w:space="0" w:color="auto"/>
              <w:right w:val="single" w:sz="4" w:space="0" w:color="auto"/>
            </w:tcBorders>
            <w:tcMar>
              <w:top w:w="15" w:type="dxa"/>
              <w:left w:w="15" w:type="dxa"/>
              <w:right w:w="15" w:type="dxa"/>
            </w:tcMar>
            <w:vAlign w:val="bottom"/>
          </w:tcPr>
          <w:p w14:paraId="02B32935" w14:textId="77777777" w:rsidR="00BB5EFF" w:rsidRDefault="00BB5EFF" w:rsidP="00D92E4C">
            <w:pPr>
              <w:spacing w:after="0"/>
            </w:pPr>
            <w:r w:rsidRPr="6DFDFAAF">
              <w:rPr>
                <w:rFonts w:ascii="Aptos Narrow" w:eastAsia="Aptos Narrow" w:hAnsi="Aptos Narrow" w:cs="Aptos Narrow"/>
                <w:b/>
                <w:bCs/>
                <w:color w:val="000000" w:themeColor="text1"/>
                <w:sz w:val="28"/>
                <w:szCs w:val="28"/>
              </w:rPr>
              <w:t xml:space="preserve">2023/4 </w:t>
            </w:r>
          </w:p>
        </w:tc>
        <w:tc>
          <w:tcPr>
            <w:tcW w:w="1640" w:type="dxa"/>
            <w:tcBorders>
              <w:top w:val="single" w:sz="8" w:space="0" w:color="auto"/>
              <w:left w:val="single" w:sz="4" w:space="0" w:color="auto"/>
              <w:bottom w:val="single" w:sz="4" w:space="0" w:color="auto"/>
              <w:right w:val="single" w:sz="4" w:space="0" w:color="auto"/>
            </w:tcBorders>
            <w:tcMar>
              <w:top w:w="15" w:type="dxa"/>
              <w:left w:w="15" w:type="dxa"/>
              <w:right w:w="15" w:type="dxa"/>
            </w:tcMar>
            <w:vAlign w:val="bottom"/>
          </w:tcPr>
          <w:p w14:paraId="2E408BE7" w14:textId="77777777" w:rsidR="00BB5EFF" w:rsidRDefault="00BB5EFF" w:rsidP="00D92E4C">
            <w:pPr>
              <w:spacing w:after="0"/>
            </w:pPr>
            <w:r w:rsidRPr="6DFDFAAF">
              <w:rPr>
                <w:rFonts w:ascii="Aptos Narrow" w:eastAsia="Aptos Narrow" w:hAnsi="Aptos Narrow" w:cs="Aptos Narrow"/>
                <w:b/>
                <w:bCs/>
                <w:color w:val="000000" w:themeColor="text1"/>
                <w:sz w:val="28"/>
                <w:szCs w:val="28"/>
              </w:rPr>
              <w:t>Meadows Hub</w:t>
            </w:r>
          </w:p>
        </w:tc>
        <w:tc>
          <w:tcPr>
            <w:tcW w:w="1703" w:type="dxa"/>
            <w:tcBorders>
              <w:top w:val="single" w:sz="8" w:space="0" w:color="auto"/>
              <w:left w:val="single" w:sz="4" w:space="0" w:color="auto"/>
              <w:bottom w:val="single" w:sz="4" w:space="0" w:color="auto"/>
              <w:right w:val="single" w:sz="4" w:space="0" w:color="auto"/>
            </w:tcBorders>
            <w:tcMar>
              <w:top w:w="15" w:type="dxa"/>
              <w:left w:w="15" w:type="dxa"/>
              <w:right w:w="15" w:type="dxa"/>
            </w:tcMar>
            <w:vAlign w:val="bottom"/>
          </w:tcPr>
          <w:p w14:paraId="7D43F8DB" w14:textId="77777777" w:rsidR="00BB5EFF" w:rsidRDefault="00BB5EFF" w:rsidP="00D92E4C">
            <w:pPr>
              <w:spacing w:after="0"/>
            </w:pPr>
            <w:r w:rsidRPr="6DFDFAAF">
              <w:rPr>
                <w:rFonts w:ascii="Aptos Narrow" w:eastAsia="Aptos Narrow" w:hAnsi="Aptos Narrow" w:cs="Aptos Narrow"/>
                <w:b/>
                <w:bCs/>
                <w:color w:val="000000" w:themeColor="text1"/>
              </w:rPr>
              <w:t>Total bill</w:t>
            </w:r>
          </w:p>
        </w:tc>
        <w:tc>
          <w:tcPr>
            <w:tcW w:w="1123" w:type="dxa"/>
            <w:tcBorders>
              <w:top w:val="single" w:sz="8" w:space="0" w:color="auto"/>
              <w:left w:val="single" w:sz="4" w:space="0" w:color="auto"/>
              <w:bottom w:val="single" w:sz="4" w:space="0" w:color="auto"/>
              <w:right w:val="single" w:sz="4" w:space="0" w:color="auto"/>
            </w:tcBorders>
            <w:tcMar>
              <w:top w:w="15" w:type="dxa"/>
              <w:left w:w="15" w:type="dxa"/>
              <w:right w:w="15" w:type="dxa"/>
            </w:tcMar>
            <w:vAlign w:val="bottom"/>
          </w:tcPr>
          <w:p w14:paraId="33AED588" w14:textId="77777777" w:rsidR="00BB5EFF" w:rsidRDefault="00BB5EFF" w:rsidP="00D92E4C"/>
        </w:tc>
        <w:tc>
          <w:tcPr>
            <w:tcW w:w="1560" w:type="dxa"/>
            <w:tcBorders>
              <w:top w:val="single" w:sz="8" w:space="0" w:color="auto"/>
              <w:left w:val="single" w:sz="4" w:space="0" w:color="auto"/>
              <w:bottom w:val="single" w:sz="4" w:space="0" w:color="auto"/>
              <w:right w:val="single" w:sz="4" w:space="0" w:color="auto"/>
            </w:tcBorders>
            <w:tcMar>
              <w:top w:w="15" w:type="dxa"/>
              <w:left w:w="15" w:type="dxa"/>
              <w:right w:w="15" w:type="dxa"/>
            </w:tcMar>
            <w:vAlign w:val="bottom"/>
          </w:tcPr>
          <w:p w14:paraId="55429281" w14:textId="77777777" w:rsidR="00BB5EFF" w:rsidRDefault="00BB5EFF" w:rsidP="00D92E4C">
            <w:pPr>
              <w:spacing w:after="0"/>
            </w:pPr>
            <w:r w:rsidRPr="6DFDFAAF">
              <w:rPr>
                <w:rFonts w:ascii="Aptos Narrow" w:eastAsia="Aptos Narrow" w:hAnsi="Aptos Narrow" w:cs="Aptos Narrow"/>
                <w:b/>
                <w:bCs/>
                <w:color w:val="000000" w:themeColor="text1"/>
              </w:rPr>
              <w:t>Based on 23/24 costs - amount payable by childcare provider</w:t>
            </w:r>
          </w:p>
        </w:tc>
      </w:tr>
      <w:tr w:rsidR="00BB5EFF" w14:paraId="05C976F1" w14:textId="77777777" w:rsidTr="00D92E4C">
        <w:trPr>
          <w:trHeight w:val="525"/>
        </w:trPr>
        <w:tc>
          <w:tcPr>
            <w:tcW w:w="1234"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42BAF78D" w14:textId="77777777" w:rsidR="00BB5EFF" w:rsidRDefault="00BB5EFF" w:rsidP="00D92E4C"/>
        </w:tc>
        <w:tc>
          <w:tcPr>
            <w:tcW w:w="16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B7C68C" w14:textId="77777777" w:rsidR="00BB5EFF" w:rsidRDefault="00BB5EFF" w:rsidP="00D92E4C">
            <w:pPr>
              <w:spacing w:after="0"/>
            </w:pPr>
            <w:r w:rsidRPr="6DFDFAAF">
              <w:rPr>
                <w:rFonts w:ascii="Aptos Narrow" w:eastAsia="Aptos Narrow" w:hAnsi="Aptos Narrow" w:cs="Aptos Narrow"/>
                <w:color w:val="000000" w:themeColor="text1"/>
              </w:rPr>
              <w:t>Gas</w:t>
            </w:r>
          </w:p>
        </w:tc>
        <w:tc>
          <w:tcPr>
            <w:tcW w:w="17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A48B909" w14:textId="77777777" w:rsidR="00BB5EFF" w:rsidRDefault="00BB5EFF" w:rsidP="00D92E4C">
            <w:pPr>
              <w:spacing w:after="0"/>
              <w:jc w:val="right"/>
            </w:pPr>
            <w:r w:rsidRPr="6DFDFAAF">
              <w:rPr>
                <w:rFonts w:ascii="Aptos Narrow" w:eastAsia="Aptos Narrow" w:hAnsi="Aptos Narrow" w:cs="Aptos Narrow"/>
                <w:color w:val="000000" w:themeColor="text1"/>
              </w:rPr>
              <w:t>£13,500.00</w:t>
            </w:r>
          </w:p>
        </w:tc>
        <w:tc>
          <w:tcPr>
            <w:tcW w:w="11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2EF4F63" w14:textId="77777777" w:rsidR="00BB5EFF" w:rsidRDefault="00BB5EFF" w:rsidP="00D92E4C">
            <w:pPr>
              <w:spacing w:after="0"/>
              <w:jc w:val="right"/>
            </w:pPr>
            <w:r w:rsidRPr="6DFDFAAF">
              <w:rPr>
                <w:rFonts w:ascii="Aptos Narrow" w:eastAsia="Aptos Narrow" w:hAnsi="Aptos Narrow" w:cs="Aptos Narrow"/>
                <w:color w:val="000000" w:themeColor="text1"/>
              </w:rPr>
              <w:t>25%</w:t>
            </w:r>
          </w:p>
        </w:tc>
        <w:tc>
          <w:tcPr>
            <w:tcW w:w="15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1C53686" w14:textId="77777777" w:rsidR="00BB5EFF" w:rsidRDefault="00BB5EFF" w:rsidP="00D92E4C">
            <w:pPr>
              <w:spacing w:after="0"/>
              <w:jc w:val="right"/>
            </w:pPr>
            <w:r w:rsidRPr="6DFDFAAF">
              <w:rPr>
                <w:rFonts w:ascii="Aptos Narrow" w:eastAsia="Aptos Narrow" w:hAnsi="Aptos Narrow" w:cs="Aptos Narrow"/>
                <w:color w:val="000000" w:themeColor="text1"/>
              </w:rPr>
              <w:t>£3,375.00</w:t>
            </w:r>
          </w:p>
        </w:tc>
      </w:tr>
      <w:tr w:rsidR="00BB5EFF" w14:paraId="66E7CA38" w14:textId="77777777" w:rsidTr="00D92E4C">
        <w:trPr>
          <w:trHeight w:val="570"/>
        </w:trPr>
        <w:tc>
          <w:tcPr>
            <w:tcW w:w="1234"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1CE4C13D" w14:textId="77777777" w:rsidR="00BB5EFF" w:rsidRDefault="00BB5EFF" w:rsidP="00D92E4C"/>
        </w:tc>
        <w:tc>
          <w:tcPr>
            <w:tcW w:w="16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ED608C9" w14:textId="77777777" w:rsidR="00BB5EFF" w:rsidRDefault="00BB5EFF" w:rsidP="00D92E4C">
            <w:pPr>
              <w:spacing w:after="0"/>
            </w:pPr>
            <w:r w:rsidRPr="6DFDFAAF">
              <w:rPr>
                <w:rFonts w:ascii="Aptos Narrow" w:eastAsia="Aptos Narrow" w:hAnsi="Aptos Narrow" w:cs="Aptos Narrow"/>
                <w:color w:val="000000" w:themeColor="text1"/>
              </w:rPr>
              <w:t>Electric</w:t>
            </w:r>
          </w:p>
        </w:tc>
        <w:tc>
          <w:tcPr>
            <w:tcW w:w="17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1BC420" w14:textId="77777777" w:rsidR="00BB5EFF" w:rsidRDefault="00BB5EFF" w:rsidP="00D92E4C">
            <w:pPr>
              <w:spacing w:after="0"/>
              <w:jc w:val="right"/>
            </w:pPr>
            <w:r w:rsidRPr="6DFDFAAF">
              <w:rPr>
                <w:rFonts w:ascii="Aptos Narrow" w:eastAsia="Aptos Narrow" w:hAnsi="Aptos Narrow" w:cs="Aptos Narrow"/>
                <w:color w:val="000000" w:themeColor="text1"/>
              </w:rPr>
              <w:t>£2,164.00</w:t>
            </w:r>
          </w:p>
        </w:tc>
        <w:tc>
          <w:tcPr>
            <w:tcW w:w="11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83FCB30" w14:textId="77777777" w:rsidR="00BB5EFF" w:rsidRDefault="00BB5EFF" w:rsidP="00D92E4C">
            <w:pPr>
              <w:spacing w:after="0"/>
              <w:jc w:val="right"/>
            </w:pPr>
            <w:r w:rsidRPr="6DFDFAAF">
              <w:rPr>
                <w:rFonts w:ascii="Aptos Narrow" w:eastAsia="Aptos Narrow" w:hAnsi="Aptos Narrow" w:cs="Aptos Narrow"/>
                <w:color w:val="000000" w:themeColor="text1"/>
              </w:rPr>
              <w:t>25%</w:t>
            </w:r>
          </w:p>
        </w:tc>
        <w:tc>
          <w:tcPr>
            <w:tcW w:w="15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262E494" w14:textId="77777777" w:rsidR="00BB5EFF" w:rsidRDefault="00BB5EFF" w:rsidP="00D92E4C">
            <w:pPr>
              <w:spacing w:after="0"/>
              <w:jc w:val="right"/>
            </w:pPr>
            <w:r w:rsidRPr="6DFDFAAF">
              <w:rPr>
                <w:rFonts w:ascii="Aptos Narrow" w:eastAsia="Aptos Narrow" w:hAnsi="Aptos Narrow" w:cs="Aptos Narrow"/>
                <w:color w:val="000000" w:themeColor="text1"/>
              </w:rPr>
              <w:t>£541.00</w:t>
            </w:r>
          </w:p>
        </w:tc>
      </w:tr>
      <w:tr w:rsidR="00BB5EFF" w14:paraId="2B9E468D" w14:textId="77777777" w:rsidTr="00D92E4C">
        <w:trPr>
          <w:trHeight w:val="285"/>
        </w:trPr>
        <w:tc>
          <w:tcPr>
            <w:tcW w:w="1234"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6545B8FB" w14:textId="77777777" w:rsidR="00BB5EFF" w:rsidRDefault="00BB5EFF" w:rsidP="00D92E4C"/>
        </w:tc>
        <w:tc>
          <w:tcPr>
            <w:tcW w:w="16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ED671F1" w14:textId="77777777" w:rsidR="00BB5EFF" w:rsidRDefault="00BB5EFF" w:rsidP="00D92E4C">
            <w:pPr>
              <w:spacing w:after="0"/>
            </w:pPr>
            <w:r w:rsidRPr="6DFDFAAF">
              <w:rPr>
                <w:rFonts w:ascii="Aptos Narrow" w:eastAsia="Aptos Narrow" w:hAnsi="Aptos Narrow" w:cs="Aptos Narrow"/>
                <w:color w:val="000000" w:themeColor="text1"/>
              </w:rPr>
              <w:t>Water</w:t>
            </w:r>
          </w:p>
        </w:tc>
        <w:tc>
          <w:tcPr>
            <w:tcW w:w="17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3DDEE96" w14:textId="77777777" w:rsidR="00BB5EFF" w:rsidRDefault="00BB5EFF" w:rsidP="00D92E4C">
            <w:pPr>
              <w:spacing w:after="0"/>
              <w:jc w:val="right"/>
            </w:pPr>
            <w:r w:rsidRPr="6DFDFAAF">
              <w:rPr>
                <w:rFonts w:ascii="Aptos Narrow" w:eastAsia="Aptos Narrow" w:hAnsi="Aptos Narrow" w:cs="Aptos Narrow"/>
                <w:color w:val="000000" w:themeColor="text1"/>
              </w:rPr>
              <w:t>£2,695.00</w:t>
            </w:r>
          </w:p>
        </w:tc>
        <w:tc>
          <w:tcPr>
            <w:tcW w:w="11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416C7A3" w14:textId="77777777" w:rsidR="00BB5EFF" w:rsidRDefault="00BB5EFF" w:rsidP="00D92E4C">
            <w:pPr>
              <w:spacing w:after="0"/>
              <w:jc w:val="right"/>
            </w:pPr>
            <w:r w:rsidRPr="6DFDFAAF">
              <w:rPr>
                <w:rFonts w:ascii="Aptos Narrow" w:eastAsia="Aptos Narrow" w:hAnsi="Aptos Narrow" w:cs="Aptos Narrow"/>
                <w:color w:val="000000" w:themeColor="text1"/>
              </w:rPr>
              <w:t>25%</w:t>
            </w:r>
          </w:p>
        </w:tc>
        <w:tc>
          <w:tcPr>
            <w:tcW w:w="15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8F57534" w14:textId="77777777" w:rsidR="00BB5EFF" w:rsidRDefault="00BB5EFF" w:rsidP="00D92E4C">
            <w:pPr>
              <w:spacing w:after="0"/>
              <w:jc w:val="right"/>
            </w:pPr>
            <w:r w:rsidRPr="6DFDFAAF">
              <w:rPr>
                <w:rFonts w:ascii="Aptos Narrow" w:eastAsia="Aptos Narrow" w:hAnsi="Aptos Narrow" w:cs="Aptos Narrow"/>
                <w:color w:val="000000" w:themeColor="text1"/>
              </w:rPr>
              <w:t>£673.75</w:t>
            </w:r>
          </w:p>
        </w:tc>
      </w:tr>
      <w:tr w:rsidR="00BB5EFF" w14:paraId="23E0BB5D" w14:textId="77777777" w:rsidTr="00D92E4C">
        <w:trPr>
          <w:trHeight w:val="465"/>
        </w:trPr>
        <w:tc>
          <w:tcPr>
            <w:tcW w:w="1234"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72054FF5" w14:textId="77777777" w:rsidR="00BB5EFF" w:rsidRDefault="00BB5EFF" w:rsidP="00D92E4C"/>
        </w:tc>
        <w:tc>
          <w:tcPr>
            <w:tcW w:w="16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D967CF" w14:textId="77777777" w:rsidR="00BB5EFF" w:rsidRDefault="00BB5EFF" w:rsidP="00D92E4C">
            <w:pPr>
              <w:spacing w:after="0"/>
            </w:pPr>
            <w:r w:rsidRPr="6DFDFAAF">
              <w:rPr>
                <w:rFonts w:ascii="Aptos Narrow" w:eastAsia="Aptos Narrow" w:hAnsi="Aptos Narrow" w:cs="Aptos Narrow"/>
                <w:color w:val="000000" w:themeColor="text1"/>
              </w:rPr>
              <w:t>Rates</w:t>
            </w:r>
          </w:p>
        </w:tc>
        <w:tc>
          <w:tcPr>
            <w:tcW w:w="17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F704924" w14:textId="77777777" w:rsidR="00BB5EFF" w:rsidRDefault="00BB5EFF" w:rsidP="00D92E4C">
            <w:pPr>
              <w:spacing w:after="0"/>
              <w:jc w:val="right"/>
            </w:pPr>
            <w:r w:rsidRPr="6DFDFAAF">
              <w:rPr>
                <w:rFonts w:ascii="Aptos Narrow" w:eastAsia="Aptos Narrow" w:hAnsi="Aptos Narrow" w:cs="Aptos Narrow"/>
                <w:color w:val="000000" w:themeColor="text1"/>
              </w:rPr>
              <w:t>£26,880.00</w:t>
            </w:r>
          </w:p>
        </w:tc>
        <w:tc>
          <w:tcPr>
            <w:tcW w:w="11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1B2B4DB" w14:textId="77777777" w:rsidR="00BB5EFF" w:rsidRDefault="00BB5EFF" w:rsidP="00D92E4C">
            <w:pPr>
              <w:spacing w:after="0"/>
              <w:jc w:val="right"/>
            </w:pPr>
            <w:r w:rsidRPr="6DFDFAAF">
              <w:rPr>
                <w:rFonts w:ascii="Aptos Narrow" w:eastAsia="Aptos Narrow" w:hAnsi="Aptos Narrow" w:cs="Aptos Narrow"/>
                <w:color w:val="000000" w:themeColor="text1"/>
              </w:rPr>
              <w:t>25%</w:t>
            </w:r>
          </w:p>
        </w:tc>
        <w:tc>
          <w:tcPr>
            <w:tcW w:w="15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FD11A09" w14:textId="77777777" w:rsidR="00BB5EFF" w:rsidRDefault="00BB5EFF" w:rsidP="00D92E4C">
            <w:pPr>
              <w:spacing w:after="0"/>
              <w:jc w:val="right"/>
            </w:pPr>
            <w:r w:rsidRPr="6DFDFAAF">
              <w:rPr>
                <w:rFonts w:ascii="Aptos Narrow" w:eastAsia="Aptos Narrow" w:hAnsi="Aptos Narrow" w:cs="Aptos Narrow"/>
                <w:color w:val="000000" w:themeColor="text1"/>
              </w:rPr>
              <w:t>£6,720.00</w:t>
            </w:r>
          </w:p>
        </w:tc>
      </w:tr>
      <w:tr w:rsidR="00BB5EFF" w14:paraId="1C217643" w14:textId="77777777" w:rsidTr="00D92E4C">
        <w:trPr>
          <w:trHeight w:val="525"/>
        </w:trPr>
        <w:tc>
          <w:tcPr>
            <w:tcW w:w="1234"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7F80AE6E" w14:textId="77777777" w:rsidR="00BB5EFF" w:rsidRDefault="00BB5EFF" w:rsidP="00D92E4C"/>
        </w:tc>
        <w:tc>
          <w:tcPr>
            <w:tcW w:w="16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6B0B564" w14:textId="77777777" w:rsidR="00BB5EFF" w:rsidRDefault="00BB5EFF" w:rsidP="00D92E4C">
            <w:pPr>
              <w:spacing w:after="0"/>
            </w:pPr>
            <w:r w:rsidRPr="6DFDFAAF">
              <w:rPr>
                <w:rFonts w:ascii="Aptos Narrow" w:eastAsia="Aptos Narrow" w:hAnsi="Aptos Narrow" w:cs="Aptos Narrow"/>
                <w:color w:val="000000" w:themeColor="text1"/>
              </w:rPr>
              <w:t>Waste Charges (</w:t>
            </w:r>
            <w:proofErr w:type="spellStart"/>
            <w:r w:rsidRPr="6DFDFAAF">
              <w:rPr>
                <w:rFonts w:ascii="Aptos Narrow" w:eastAsia="Aptos Narrow" w:hAnsi="Aptos Narrow" w:cs="Aptos Narrow"/>
                <w:color w:val="000000" w:themeColor="text1"/>
              </w:rPr>
              <w:t>inc</w:t>
            </w:r>
            <w:proofErr w:type="spellEnd"/>
            <w:r w:rsidRPr="6DFDFAAF">
              <w:rPr>
                <w:rFonts w:ascii="Aptos Narrow" w:eastAsia="Aptos Narrow" w:hAnsi="Aptos Narrow" w:cs="Aptos Narrow"/>
                <w:color w:val="000000" w:themeColor="text1"/>
              </w:rPr>
              <w:t xml:space="preserve"> nappy disposal)</w:t>
            </w:r>
          </w:p>
        </w:tc>
        <w:tc>
          <w:tcPr>
            <w:tcW w:w="170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442B6185" w14:textId="77777777" w:rsidR="00BB5EFF" w:rsidRDefault="00BB5EFF" w:rsidP="00D92E4C">
            <w:pPr>
              <w:spacing w:after="0"/>
              <w:jc w:val="right"/>
            </w:pPr>
            <w:r w:rsidRPr="6DFDFAAF">
              <w:rPr>
                <w:rFonts w:ascii="Aptos Narrow" w:eastAsia="Aptos Narrow" w:hAnsi="Aptos Narrow" w:cs="Aptos Narrow"/>
                <w:color w:val="000000" w:themeColor="text1"/>
              </w:rPr>
              <w:t>£1,606.00</w:t>
            </w:r>
          </w:p>
        </w:tc>
        <w:tc>
          <w:tcPr>
            <w:tcW w:w="11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F48FAE4" w14:textId="77777777" w:rsidR="00BB5EFF" w:rsidRDefault="00BB5EFF" w:rsidP="00D92E4C">
            <w:pPr>
              <w:spacing w:after="0"/>
              <w:jc w:val="right"/>
            </w:pPr>
            <w:r w:rsidRPr="6DFDFAAF">
              <w:rPr>
                <w:rFonts w:ascii="Aptos Narrow" w:eastAsia="Aptos Narrow" w:hAnsi="Aptos Narrow" w:cs="Aptos Narrow"/>
                <w:color w:val="000000" w:themeColor="text1"/>
              </w:rPr>
              <w:t>25%</w:t>
            </w:r>
          </w:p>
        </w:tc>
        <w:tc>
          <w:tcPr>
            <w:tcW w:w="15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DCDD2EC" w14:textId="77777777" w:rsidR="00BB5EFF" w:rsidRDefault="00BB5EFF" w:rsidP="00D92E4C">
            <w:pPr>
              <w:spacing w:after="0"/>
              <w:jc w:val="right"/>
            </w:pPr>
            <w:r w:rsidRPr="6DFDFAAF">
              <w:rPr>
                <w:rFonts w:ascii="Aptos Narrow" w:eastAsia="Aptos Narrow" w:hAnsi="Aptos Narrow" w:cs="Aptos Narrow"/>
                <w:color w:val="000000" w:themeColor="text1"/>
              </w:rPr>
              <w:t>£401.50</w:t>
            </w:r>
          </w:p>
        </w:tc>
      </w:tr>
      <w:tr w:rsidR="00BB5EFF" w14:paraId="0081C85B" w14:textId="77777777" w:rsidTr="00D92E4C">
        <w:trPr>
          <w:trHeight w:val="285"/>
        </w:trPr>
        <w:tc>
          <w:tcPr>
            <w:tcW w:w="1234"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4AC2A99A" w14:textId="77777777" w:rsidR="00BB5EFF" w:rsidRDefault="00BB5EFF" w:rsidP="00D92E4C"/>
        </w:tc>
        <w:tc>
          <w:tcPr>
            <w:tcW w:w="16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8F15ACE" w14:textId="77777777" w:rsidR="00BB5EFF" w:rsidRDefault="00BB5EFF" w:rsidP="00D92E4C">
            <w:pPr>
              <w:spacing w:after="0"/>
            </w:pPr>
            <w:r w:rsidRPr="6DFDFAAF">
              <w:rPr>
                <w:rFonts w:ascii="Aptos Narrow" w:eastAsia="Aptos Narrow" w:hAnsi="Aptos Narrow" w:cs="Aptos Narrow"/>
                <w:color w:val="000000" w:themeColor="text1"/>
              </w:rPr>
              <w:t>insurance</w:t>
            </w:r>
          </w:p>
        </w:tc>
        <w:tc>
          <w:tcPr>
            <w:tcW w:w="170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4E354CDA" w14:textId="77777777" w:rsidR="00BB5EFF" w:rsidRDefault="00BB5EFF" w:rsidP="00D92E4C"/>
        </w:tc>
        <w:tc>
          <w:tcPr>
            <w:tcW w:w="11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DD233FD" w14:textId="77777777" w:rsidR="00BB5EFF" w:rsidRDefault="00BB5EFF" w:rsidP="00D92E4C"/>
        </w:tc>
        <w:tc>
          <w:tcPr>
            <w:tcW w:w="15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4216739" w14:textId="77777777" w:rsidR="00BB5EFF" w:rsidRDefault="00BB5EFF" w:rsidP="00D92E4C"/>
        </w:tc>
      </w:tr>
      <w:tr w:rsidR="00BB5EFF" w14:paraId="7034E044" w14:textId="77777777" w:rsidTr="00D92E4C">
        <w:trPr>
          <w:trHeight w:val="285"/>
        </w:trPr>
        <w:tc>
          <w:tcPr>
            <w:tcW w:w="1234"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0DF00BF3" w14:textId="77777777" w:rsidR="00BB5EFF" w:rsidRDefault="00BB5EFF" w:rsidP="00D92E4C"/>
        </w:tc>
        <w:tc>
          <w:tcPr>
            <w:tcW w:w="16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D07284B" w14:textId="77777777" w:rsidR="00BB5EFF" w:rsidRDefault="00BB5EFF" w:rsidP="00D92E4C"/>
        </w:tc>
        <w:tc>
          <w:tcPr>
            <w:tcW w:w="17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6A1A15F" w14:textId="77777777" w:rsidR="00BB5EFF" w:rsidRDefault="00BB5EFF" w:rsidP="00D92E4C">
            <w:pPr>
              <w:spacing w:after="0"/>
              <w:jc w:val="right"/>
            </w:pPr>
            <w:r w:rsidRPr="6DFDFAAF">
              <w:rPr>
                <w:rFonts w:ascii="Aptos Narrow" w:eastAsia="Aptos Narrow" w:hAnsi="Aptos Narrow" w:cs="Aptos Narrow"/>
                <w:b/>
                <w:bCs/>
                <w:color w:val="000000" w:themeColor="text1"/>
              </w:rPr>
              <w:t>£46,845.00</w:t>
            </w:r>
          </w:p>
        </w:tc>
        <w:tc>
          <w:tcPr>
            <w:tcW w:w="11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1B88CAF" w14:textId="77777777" w:rsidR="00BB5EFF" w:rsidRDefault="00BB5EFF" w:rsidP="00D92E4C"/>
        </w:tc>
        <w:tc>
          <w:tcPr>
            <w:tcW w:w="15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FF9E0E1" w14:textId="77777777" w:rsidR="00BB5EFF" w:rsidRDefault="00BB5EFF" w:rsidP="00D92E4C">
            <w:pPr>
              <w:spacing w:after="0"/>
              <w:jc w:val="right"/>
            </w:pPr>
            <w:r w:rsidRPr="6DFDFAAF">
              <w:rPr>
                <w:rFonts w:ascii="Aptos Narrow" w:eastAsia="Aptos Narrow" w:hAnsi="Aptos Narrow" w:cs="Aptos Narrow"/>
                <w:b/>
                <w:bCs/>
                <w:color w:val="000000" w:themeColor="text1"/>
              </w:rPr>
              <w:t>£11,711.25</w:t>
            </w:r>
          </w:p>
        </w:tc>
      </w:tr>
      <w:tr w:rsidR="00BB5EFF" w14:paraId="0E153343" w14:textId="77777777" w:rsidTr="00D92E4C">
        <w:trPr>
          <w:trHeight w:val="600"/>
        </w:trPr>
        <w:tc>
          <w:tcPr>
            <w:tcW w:w="1234"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378C8A50" w14:textId="77777777" w:rsidR="00BB5EFF" w:rsidRDefault="00BB5EFF" w:rsidP="00D92E4C"/>
        </w:tc>
        <w:tc>
          <w:tcPr>
            <w:tcW w:w="16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A2F169" w14:textId="77777777" w:rsidR="00BB5EFF" w:rsidRDefault="00BB5EFF" w:rsidP="00D92E4C">
            <w:pPr>
              <w:spacing w:after="0"/>
            </w:pPr>
            <w:r w:rsidRPr="6DFDFAAF">
              <w:rPr>
                <w:rFonts w:ascii="Aptos Narrow" w:eastAsia="Aptos Narrow" w:hAnsi="Aptos Narrow" w:cs="Aptos Narrow"/>
                <w:color w:val="000000" w:themeColor="text1"/>
              </w:rPr>
              <w:t>Repairs (excluding major structural works)</w:t>
            </w:r>
          </w:p>
        </w:tc>
        <w:tc>
          <w:tcPr>
            <w:tcW w:w="17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7141485" w14:textId="77777777" w:rsidR="00BB5EFF" w:rsidRDefault="00BB5EFF" w:rsidP="00D92E4C">
            <w:pPr>
              <w:spacing w:after="0"/>
              <w:jc w:val="right"/>
            </w:pPr>
            <w:r w:rsidRPr="6DFDFAAF">
              <w:rPr>
                <w:rFonts w:ascii="Aptos Narrow" w:eastAsia="Aptos Narrow" w:hAnsi="Aptos Narrow" w:cs="Aptos Narrow"/>
                <w:color w:val="000000" w:themeColor="text1"/>
              </w:rPr>
              <w:t>£9,927.00</w:t>
            </w:r>
          </w:p>
        </w:tc>
        <w:tc>
          <w:tcPr>
            <w:tcW w:w="11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864282D" w14:textId="77777777" w:rsidR="00BB5EFF" w:rsidRDefault="00BB5EFF" w:rsidP="00D92E4C">
            <w:pPr>
              <w:spacing w:after="0"/>
              <w:jc w:val="right"/>
            </w:pPr>
            <w:r w:rsidRPr="6DFDFAAF">
              <w:rPr>
                <w:rFonts w:ascii="Aptos Narrow" w:eastAsia="Aptos Narrow" w:hAnsi="Aptos Narrow" w:cs="Aptos Narrow"/>
                <w:color w:val="000000" w:themeColor="text1"/>
              </w:rPr>
              <w:t>25%</w:t>
            </w:r>
          </w:p>
        </w:tc>
        <w:tc>
          <w:tcPr>
            <w:tcW w:w="15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5663BEA" w14:textId="77777777" w:rsidR="00BB5EFF" w:rsidRDefault="00BB5EFF" w:rsidP="00D92E4C">
            <w:pPr>
              <w:spacing w:after="0"/>
              <w:jc w:val="right"/>
            </w:pPr>
            <w:r w:rsidRPr="6DFDFAAF">
              <w:rPr>
                <w:rFonts w:ascii="Aptos Narrow" w:eastAsia="Aptos Narrow" w:hAnsi="Aptos Narrow" w:cs="Aptos Narrow"/>
                <w:color w:val="000000" w:themeColor="text1"/>
              </w:rPr>
              <w:t>£2,481.75</w:t>
            </w:r>
          </w:p>
        </w:tc>
      </w:tr>
      <w:tr w:rsidR="00BB5EFF" w14:paraId="63E78EE4" w14:textId="77777777" w:rsidTr="00D92E4C">
        <w:trPr>
          <w:trHeight w:val="285"/>
        </w:trPr>
        <w:tc>
          <w:tcPr>
            <w:tcW w:w="1234"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5E5C4E1B" w14:textId="77777777" w:rsidR="00BB5EFF" w:rsidRDefault="00BB5EFF" w:rsidP="00D92E4C"/>
        </w:tc>
        <w:tc>
          <w:tcPr>
            <w:tcW w:w="16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62D4790" w14:textId="77777777" w:rsidR="00BB5EFF" w:rsidRDefault="00BB5EFF" w:rsidP="00D92E4C">
            <w:pPr>
              <w:spacing w:after="0"/>
            </w:pPr>
            <w:r w:rsidRPr="6DFDFAAF">
              <w:rPr>
                <w:rFonts w:ascii="Aptos Narrow" w:eastAsia="Aptos Narrow" w:hAnsi="Aptos Narrow" w:cs="Aptos Narrow"/>
                <w:color w:val="000000" w:themeColor="text1"/>
              </w:rPr>
              <w:t>Caretaker</w:t>
            </w:r>
          </w:p>
        </w:tc>
        <w:tc>
          <w:tcPr>
            <w:tcW w:w="170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621F2C69" w14:textId="77777777" w:rsidR="00BB5EFF" w:rsidRDefault="00BB5EFF" w:rsidP="00D92E4C">
            <w:pPr>
              <w:spacing w:after="0"/>
              <w:jc w:val="right"/>
            </w:pPr>
            <w:r w:rsidRPr="6DFDFAAF">
              <w:rPr>
                <w:rFonts w:ascii="Aptos Narrow" w:eastAsia="Aptos Narrow" w:hAnsi="Aptos Narrow" w:cs="Aptos Narrow"/>
                <w:color w:val="000000" w:themeColor="text1"/>
              </w:rPr>
              <w:t>£29,103.00</w:t>
            </w:r>
          </w:p>
        </w:tc>
        <w:tc>
          <w:tcPr>
            <w:tcW w:w="11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0F7B4D3" w14:textId="77777777" w:rsidR="00BB5EFF" w:rsidRDefault="00BB5EFF" w:rsidP="00D92E4C">
            <w:pPr>
              <w:spacing w:after="0"/>
              <w:jc w:val="right"/>
            </w:pPr>
            <w:r w:rsidRPr="6DFDFAAF">
              <w:rPr>
                <w:rFonts w:ascii="Aptos Narrow" w:eastAsia="Aptos Narrow" w:hAnsi="Aptos Narrow" w:cs="Aptos Narrow"/>
                <w:color w:val="000000" w:themeColor="text1"/>
              </w:rPr>
              <w:t>20%</w:t>
            </w:r>
          </w:p>
        </w:tc>
        <w:tc>
          <w:tcPr>
            <w:tcW w:w="15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E0E616" w14:textId="77777777" w:rsidR="00BB5EFF" w:rsidRDefault="00BB5EFF" w:rsidP="00D92E4C">
            <w:pPr>
              <w:spacing w:after="0"/>
              <w:jc w:val="right"/>
            </w:pPr>
            <w:r w:rsidRPr="6DFDFAAF">
              <w:rPr>
                <w:rFonts w:ascii="Aptos Narrow" w:eastAsia="Aptos Narrow" w:hAnsi="Aptos Narrow" w:cs="Aptos Narrow"/>
                <w:color w:val="000000" w:themeColor="text1"/>
              </w:rPr>
              <w:t>£5,820.60</w:t>
            </w:r>
          </w:p>
        </w:tc>
      </w:tr>
      <w:tr w:rsidR="00BB5EFF" w14:paraId="52439BE7" w14:textId="77777777" w:rsidTr="00D92E4C">
        <w:trPr>
          <w:trHeight w:val="300"/>
        </w:trPr>
        <w:tc>
          <w:tcPr>
            <w:tcW w:w="1234" w:type="dxa"/>
            <w:tcBorders>
              <w:top w:val="single" w:sz="4" w:space="0" w:color="auto"/>
              <w:left w:val="single" w:sz="8" w:space="0" w:color="auto"/>
              <w:bottom w:val="single" w:sz="8" w:space="0" w:color="auto"/>
              <w:right w:val="single" w:sz="4" w:space="0" w:color="auto"/>
            </w:tcBorders>
            <w:tcMar>
              <w:top w:w="15" w:type="dxa"/>
              <w:left w:w="15" w:type="dxa"/>
              <w:right w:w="15" w:type="dxa"/>
            </w:tcMar>
            <w:vAlign w:val="bottom"/>
          </w:tcPr>
          <w:p w14:paraId="4561A3CF" w14:textId="77777777" w:rsidR="00BB5EFF" w:rsidRDefault="00BB5EFF" w:rsidP="00D92E4C"/>
        </w:tc>
        <w:tc>
          <w:tcPr>
            <w:tcW w:w="1640" w:type="dxa"/>
            <w:tcBorders>
              <w:top w:val="single" w:sz="4" w:space="0" w:color="auto"/>
              <w:left w:val="single" w:sz="4" w:space="0" w:color="auto"/>
              <w:bottom w:val="single" w:sz="8" w:space="0" w:color="auto"/>
              <w:right w:val="single" w:sz="4" w:space="0" w:color="auto"/>
            </w:tcBorders>
            <w:tcMar>
              <w:top w:w="15" w:type="dxa"/>
              <w:left w:w="15" w:type="dxa"/>
              <w:right w:w="15" w:type="dxa"/>
            </w:tcMar>
            <w:vAlign w:val="bottom"/>
          </w:tcPr>
          <w:p w14:paraId="4DD61404" w14:textId="77777777" w:rsidR="00BB5EFF" w:rsidRDefault="00BB5EFF" w:rsidP="00D92E4C"/>
        </w:tc>
        <w:tc>
          <w:tcPr>
            <w:tcW w:w="1703" w:type="dxa"/>
            <w:tcBorders>
              <w:top w:val="single" w:sz="4" w:space="0" w:color="auto"/>
              <w:left w:val="single" w:sz="4" w:space="0" w:color="auto"/>
              <w:bottom w:val="single" w:sz="8" w:space="0" w:color="auto"/>
              <w:right w:val="single" w:sz="4" w:space="0" w:color="auto"/>
            </w:tcBorders>
            <w:tcMar>
              <w:top w:w="15" w:type="dxa"/>
              <w:left w:w="15" w:type="dxa"/>
              <w:right w:w="15" w:type="dxa"/>
            </w:tcMar>
            <w:vAlign w:val="bottom"/>
          </w:tcPr>
          <w:p w14:paraId="28CAB2CC" w14:textId="77777777" w:rsidR="00BB5EFF" w:rsidRDefault="00BB5EFF" w:rsidP="00D92E4C">
            <w:pPr>
              <w:spacing w:after="0"/>
              <w:jc w:val="right"/>
            </w:pPr>
            <w:r w:rsidRPr="6DFDFAAF">
              <w:rPr>
                <w:rFonts w:ascii="Aptos Narrow" w:eastAsia="Aptos Narrow" w:hAnsi="Aptos Narrow" w:cs="Aptos Narrow"/>
                <w:b/>
                <w:bCs/>
                <w:color w:val="000000" w:themeColor="text1"/>
              </w:rPr>
              <w:t>£85,875.00</w:t>
            </w:r>
          </w:p>
        </w:tc>
        <w:tc>
          <w:tcPr>
            <w:tcW w:w="1123" w:type="dxa"/>
            <w:tcBorders>
              <w:top w:val="single" w:sz="4" w:space="0" w:color="auto"/>
              <w:left w:val="single" w:sz="4" w:space="0" w:color="auto"/>
              <w:bottom w:val="single" w:sz="8" w:space="0" w:color="auto"/>
              <w:right w:val="single" w:sz="4" w:space="0" w:color="auto"/>
            </w:tcBorders>
            <w:tcMar>
              <w:top w:w="15" w:type="dxa"/>
              <w:left w:w="15" w:type="dxa"/>
              <w:right w:w="15" w:type="dxa"/>
            </w:tcMar>
            <w:vAlign w:val="bottom"/>
          </w:tcPr>
          <w:p w14:paraId="033A11AE" w14:textId="77777777" w:rsidR="00BB5EFF" w:rsidRDefault="00BB5EFF" w:rsidP="00D92E4C"/>
        </w:tc>
        <w:tc>
          <w:tcPr>
            <w:tcW w:w="1560" w:type="dxa"/>
            <w:tcBorders>
              <w:top w:val="single" w:sz="4" w:space="0" w:color="auto"/>
              <w:left w:val="single" w:sz="4" w:space="0" w:color="auto"/>
              <w:bottom w:val="single" w:sz="8" w:space="0" w:color="auto"/>
              <w:right w:val="single" w:sz="4" w:space="0" w:color="auto"/>
            </w:tcBorders>
            <w:tcMar>
              <w:top w:w="15" w:type="dxa"/>
              <w:left w:w="15" w:type="dxa"/>
              <w:right w:w="15" w:type="dxa"/>
            </w:tcMar>
            <w:vAlign w:val="bottom"/>
          </w:tcPr>
          <w:p w14:paraId="65C50452" w14:textId="77777777" w:rsidR="00BB5EFF" w:rsidRDefault="00BB5EFF" w:rsidP="00D92E4C">
            <w:pPr>
              <w:spacing w:after="0"/>
              <w:jc w:val="right"/>
            </w:pPr>
            <w:r w:rsidRPr="6DFDFAAF">
              <w:rPr>
                <w:rFonts w:ascii="Aptos Narrow" w:eastAsia="Aptos Narrow" w:hAnsi="Aptos Narrow" w:cs="Aptos Narrow"/>
                <w:b/>
                <w:bCs/>
                <w:color w:val="000000" w:themeColor="text1"/>
              </w:rPr>
              <w:t>£20,013.60</w:t>
            </w:r>
          </w:p>
        </w:tc>
      </w:tr>
    </w:tbl>
    <w:p w14:paraId="31BCF4AF" w14:textId="1F11D612" w:rsidR="00B765AD" w:rsidRPr="00AA5CD4" w:rsidRDefault="00B765AD">
      <w:pPr>
        <w:rPr>
          <w:rFonts w:ascii="Arial" w:hAnsi="Arial" w:cs="Arial"/>
          <w:sz w:val="24"/>
          <w:szCs w:val="24"/>
        </w:rPr>
      </w:pPr>
    </w:p>
    <w:p w14:paraId="5F0201C9" w14:textId="77777777" w:rsidR="00B765AD" w:rsidRPr="00AA5CD4" w:rsidRDefault="00B765AD">
      <w:pPr>
        <w:rPr>
          <w:rFonts w:ascii="Arial" w:hAnsi="Arial" w:cs="Arial"/>
          <w:b/>
          <w:bCs/>
          <w:sz w:val="24"/>
          <w:szCs w:val="24"/>
        </w:rPr>
      </w:pPr>
    </w:p>
    <w:p w14:paraId="0389D989" w14:textId="4D3F44C7" w:rsidR="00012018" w:rsidRPr="00AA5CD4" w:rsidRDefault="00012018">
      <w:pPr>
        <w:rPr>
          <w:rFonts w:ascii="Arial" w:hAnsi="Arial" w:cs="Arial"/>
          <w:b/>
          <w:bCs/>
          <w:sz w:val="24"/>
          <w:szCs w:val="24"/>
        </w:rPr>
      </w:pPr>
      <w:r w:rsidRPr="00AA5CD4">
        <w:rPr>
          <w:rFonts w:ascii="Arial" w:hAnsi="Arial" w:cs="Arial"/>
          <w:b/>
          <w:bCs/>
          <w:sz w:val="24"/>
          <w:szCs w:val="24"/>
        </w:rPr>
        <w:lastRenderedPageBreak/>
        <w:t>Indicative contribution from September 2025</w:t>
      </w:r>
      <w:r w:rsidR="00AA5CD4">
        <w:rPr>
          <w:rFonts w:ascii="Arial" w:hAnsi="Arial" w:cs="Arial"/>
          <w:b/>
          <w:bCs/>
          <w:sz w:val="24"/>
          <w:szCs w:val="24"/>
        </w:rPr>
        <w:t xml:space="preserve"> </w:t>
      </w:r>
      <w:r w:rsidRPr="00AA5CD4">
        <w:rPr>
          <w:rFonts w:ascii="Arial" w:hAnsi="Arial" w:cs="Arial"/>
          <w:b/>
          <w:bCs/>
          <w:sz w:val="24"/>
          <w:szCs w:val="24"/>
        </w:rPr>
        <w:t>- August 2026.</w:t>
      </w:r>
    </w:p>
    <w:p w14:paraId="6F08645B" w14:textId="3B53A426" w:rsidR="004C1FB8" w:rsidRPr="00AA5CD4" w:rsidRDefault="004C1FB8">
      <w:pPr>
        <w:rPr>
          <w:rFonts w:ascii="Arial" w:hAnsi="Arial" w:cs="Arial"/>
          <w:sz w:val="24"/>
          <w:szCs w:val="24"/>
        </w:rPr>
      </w:pPr>
      <w:r w:rsidRPr="00AA5CD4">
        <w:rPr>
          <w:rFonts w:ascii="Arial" w:hAnsi="Arial" w:cs="Arial"/>
          <w:noProof/>
          <w:sz w:val="24"/>
          <w:szCs w:val="24"/>
        </w:rPr>
        <w:drawing>
          <wp:inline distT="0" distB="0" distL="0" distR="0" wp14:anchorId="7822CAE1" wp14:editId="2E65BC28">
            <wp:extent cx="5067300" cy="5867080"/>
            <wp:effectExtent l="0" t="0" r="0" b="635"/>
            <wp:docPr id="8438760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76131" cy="5877305"/>
                    </a:xfrm>
                    <a:prstGeom prst="rect">
                      <a:avLst/>
                    </a:prstGeom>
                    <a:noFill/>
                    <a:ln>
                      <a:noFill/>
                    </a:ln>
                  </pic:spPr>
                </pic:pic>
              </a:graphicData>
            </a:graphic>
          </wp:inline>
        </w:drawing>
      </w:r>
    </w:p>
    <w:sectPr w:rsidR="004C1FB8" w:rsidRPr="00AA5C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AD"/>
    <w:rsid w:val="00012018"/>
    <w:rsid w:val="00226E3B"/>
    <w:rsid w:val="003329FE"/>
    <w:rsid w:val="00443707"/>
    <w:rsid w:val="004C1FB8"/>
    <w:rsid w:val="007417CB"/>
    <w:rsid w:val="007B11AA"/>
    <w:rsid w:val="009643CC"/>
    <w:rsid w:val="00AA5CD4"/>
    <w:rsid w:val="00B765AD"/>
    <w:rsid w:val="00BB5EFF"/>
    <w:rsid w:val="00E5253C"/>
    <w:rsid w:val="00FD06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35E4B"/>
  <w15:chartTrackingRefBased/>
  <w15:docId w15:val="{993ADAD4-D20E-4A94-85CC-45437F1CA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65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65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65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65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65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65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65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65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65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5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65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65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65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65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65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65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65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65AD"/>
    <w:rPr>
      <w:rFonts w:eastAsiaTheme="majorEastAsia" w:cstheme="majorBidi"/>
      <w:color w:val="272727" w:themeColor="text1" w:themeTint="D8"/>
    </w:rPr>
  </w:style>
  <w:style w:type="paragraph" w:styleId="Title">
    <w:name w:val="Title"/>
    <w:basedOn w:val="Normal"/>
    <w:next w:val="Normal"/>
    <w:link w:val="TitleChar"/>
    <w:uiPriority w:val="10"/>
    <w:qFormat/>
    <w:rsid w:val="00B76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65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65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65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65AD"/>
    <w:pPr>
      <w:spacing w:before="160"/>
      <w:jc w:val="center"/>
    </w:pPr>
    <w:rPr>
      <w:i/>
      <w:iCs/>
      <w:color w:val="404040" w:themeColor="text1" w:themeTint="BF"/>
    </w:rPr>
  </w:style>
  <w:style w:type="character" w:customStyle="1" w:styleId="QuoteChar">
    <w:name w:val="Quote Char"/>
    <w:basedOn w:val="DefaultParagraphFont"/>
    <w:link w:val="Quote"/>
    <w:uiPriority w:val="29"/>
    <w:rsid w:val="00B765AD"/>
    <w:rPr>
      <w:i/>
      <w:iCs/>
      <w:color w:val="404040" w:themeColor="text1" w:themeTint="BF"/>
    </w:rPr>
  </w:style>
  <w:style w:type="paragraph" w:styleId="ListParagraph">
    <w:name w:val="List Paragraph"/>
    <w:basedOn w:val="Normal"/>
    <w:uiPriority w:val="34"/>
    <w:qFormat/>
    <w:rsid w:val="00B765AD"/>
    <w:pPr>
      <w:ind w:left="720"/>
      <w:contextualSpacing/>
    </w:pPr>
  </w:style>
  <w:style w:type="character" w:styleId="IntenseEmphasis">
    <w:name w:val="Intense Emphasis"/>
    <w:basedOn w:val="DefaultParagraphFont"/>
    <w:uiPriority w:val="21"/>
    <w:qFormat/>
    <w:rsid w:val="00B765AD"/>
    <w:rPr>
      <w:i/>
      <w:iCs/>
      <w:color w:val="0F4761" w:themeColor="accent1" w:themeShade="BF"/>
    </w:rPr>
  </w:style>
  <w:style w:type="paragraph" w:styleId="IntenseQuote">
    <w:name w:val="Intense Quote"/>
    <w:basedOn w:val="Normal"/>
    <w:next w:val="Normal"/>
    <w:link w:val="IntenseQuoteChar"/>
    <w:uiPriority w:val="30"/>
    <w:qFormat/>
    <w:rsid w:val="00B765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65AD"/>
    <w:rPr>
      <w:i/>
      <w:iCs/>
      <w:color w:val="0F4761" w:themeColor="accent1" w:themeShade="BF"/>
    </w:rPr>
  </w:style>
  <w:style w:type="character" w:styleId="IntenseReference">
    <w:name w:val="Intense Reference"/>
    <w:basedOn w:val="DefaultParagraphFont"/>
    <w:uiPriority w:val="32"/>
    <w:qFormat/>
    <w:rsid w:val="00B765A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444571">
      <w:bodyDiv w:val="1"/>
      <w:marLeft w:val="0"/>
      <w:marRight w:val="0"/>
      <w:marTop w:val="0"/>
      <w:marBottom w:val="0"/>
      <w:divBdr>
        <w:top w:val="none" w:sz="0" w:space="0" w:color="auto"/>
        <w:left w:val="none" w:sz="0" w:space="0" w:color="auto"/>
        <w:bottom w:val="none" w:sz="0" w:space="0" w:color="auto"/>
        <w:right w:val="none" w:sz="0" w:space="0" w:color="auto"/>
      </w:divBdr>
    </w:div>
    <w:div w:id="182027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415856BAA82D46987F1ABA66241C70" ma:contentTypeVersion="13" ma:contentTypeDescription="Create a new document." ma:contentTypeScope="" ma:versionID="5565087b20f0b130ce7ea9d78a184cd8">
  <xsd:schema xmlns:xsd="http://www.w3.org/2001/XMLSchema" xmlns:xs="http://www.w3.org/2001/XMLSchema" xmlns:p="http://schemas.microsoft.com/office/2006/metadata/properties" xmlns:ns2="09ae6637-76d2-45e4-9d07-95cba57ed331" xmlns:ns3="064cd3b1-60ff-4f60-8ef7-1a8fcdd4a53b" targetNamespace="http://schemas.microsoft.com/office/2006/metadata/properties" ma:root="true" ma:fieldsID="9f0e1d9979b71c037945319c09963b67" ns2:_="" ns3:_="">
    <xsd:import namespace="09ae6637-76d2-45e4-9d07-95cba57ed331"/>
    <xsd:import namespace="064cd3b1-60ff-4f60-8ef7-1a8fcdd4a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ae6637-76d2-45e4-9d07-95cba57ed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4cd3b1-60ff-4f60-8ef7-1a8fcdd4a53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2b3a530-4704-46ad-af77-f74aff066864}" ma:internalName="TaxCatchAll" ma:showField="CatchAllData" ma:web="064cd3b1-60ff-4f60-8ef7-1a8fcdd4a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ae6637-76d2-45e4-9d07-95cba57ed331">
      <Terms xmlns="http://schemas.microsoft.com/office/infopath/2007/PartnerControls"/>
    </lcf76f155ced4ddcb4097134ff3c332f>
    <TaxCatchAll xmlns="064cd3b1-60ff-4f60-8ef7-1a8fcdd4a53b" xsi:nil="true"/>
  </documentManagement>
</p:properties>
</file>

<file path=customXml/itemProps1.xml><?xml version="1.0" encoding="utf-8"?>
<ds:datastoreItem xmlns:ds="http://schemas.openxmlformats.org/officeDocument/2006/customXml" ds:itemID="{EA632C61-7AC3-494E-8807-EC0B7A3F4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ae6637-76d2-45e4-9d07-95cba57ed331"/>
    <ds:schemaRef ds:uri="064cd3b1-60ff-4f60-8ef7-1a8fcdd4a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B4072-337C-4449-817D-3687BC5943F9}">
  <ds:schemaRefs>
    <ds:schemaRef ds:uri="http://schemas.microsoft.com/sharepoint/v3/contenttype/forms"/>
  </ds:schemaRefs>
</ds:datastoreItem>
</file>

<file path=customXml/itemProps3.xml><?xml version="1.0" encoding="utf-8"?>
<ds:datastoreItem xmlns:ds="http://schemas.openxmlformats.org/officeDocument/2006/customXml" ds:itemID="{FE621CBD-0E88-434B-98F8-0F3F05E32592}">
  <ds:schemaRefs>
    <ds:schemaRef ds:uri="http://schemas.microsoft.com/office/2006/metadata/properties"/>
    <ds:schemaRef ds:uri="http://schemas.microsoft.com/office/infopath/2007/PartnerControls"/>
    <ds:schemaRef ds:uri="09ae6637-76d2-45e4-9d07-95cba57ed331"/>
    <ds:schemaRef ds:uri="064cd3b1-60ff-4f60-8ef7-1a8fcdd4a53b"/>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Nottingham City Council</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 Cameron-Jones</dc:creator>
  <cp:keywords/>
  <dc:description/>
  <cp:lastModifiedBy>Steve Cotterill</cp:lastModifiedBy>
  <cp:revision>4</cp:revision>
  <dcterms:created xsi:type="dcterms:W3CDTF">2025-04-04T07:51:00Z</dcterms:created>
  <dcterms:modified xsi:type="dcterms:W3CDTF">2025-04-14T07:54:00Z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0x01010028415856BAA82D46987F1ABA66241C70</vt:lpwstr>
  </property>
</Properties>
</file>